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6"/>
      </w:tblGrid>
      <w:tr w:rsidR="00541300" w14:paraId="4BA7CC24" w14:textId="77777777" w:rsidTr="00541300">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541300" w14:paraId="575A66C9" w14:textId="77777777">
              <w:tc>
                <w:tcPr>
                  <w:tcW w:w="0" w:type="auto"/>
                  <w:tcMar>
                    <w:top w:w="0" w:type="dxa"/>
                    <w:left w:w="270" w:type="dxa"/>
                    <w:bottom w:w="135" w:type="dxa"/>
                    <w:right w:w="270" w:type="dxa"/>
                  </w:tcMar>
                  <w:hideMark/>
                </w:tcPr>
                <w:p w14:paraId="7C54AC14" w14:textId="77777777" w:rsidR="00541300" w:rsidRDefault="00541300">
                  <w:pPr>
                    <w:pStyle w:val="Heading3"/>
                    <w:rPr>
                      <w:rFonts w:eastAsia="Times New Roman"/>
                    </w:rPr>
                  </w:pPr>
                  <w:r>
                    <w:rPr>
                      <w:rFonts w:eastAsia="Times New Roman"/>
                    </w:rPr>
                    <w:br/>
                    <w:t>Metacognition and self-regulation: the rockstars of learning </w:t>
                  </w:r>
                </w:p>
              </w:tc>
            </w:tr>
          </w:tbl>
          <w:p w14:paraId="42262009" w14:textId="77777777" w:rsidR="00541300" w:rsidRDefault="00541300">
            <w:pPr>
              <w:rPr>
                <w:rFonts w:ascii="Times New Roman" w:eastAsia="Times New Roman" w:hAnsi="Times New Roman" w:cs="Times New Roman"/>
                <w:sz w:val="20"/>
                <w:szCs w:val="20"/>
              </w:rPr>
            </w:pPr>
          </w:p>
        </w:tc>
      </w:tr>
    </w:tbl>
    <w:p w14:paraId="7F4F56DE" w14:textId="77777777" w:rsidR="00541300" w:rsidRDefault="00541300" w:rsidP="00541300"/>
    <w:tbl>
      <w:tblPr>
        <w:tblW w:w="5000" w:type="pct"/>
        <w:tblCellMar>
          <w:left w:w="0" w:type="dxa"/>
          <w:right w:w="0" w:type="dxa"/>
        </w:tblCellMar>
        <w:tblLook w:val="04A0" w:firstRow="1" w:lastRow="0" w:firstColumn="1" w:lastColumn="0" w:noHBand="0" w:noVBand="1"/>
      </w:tblPr>
      <w:tblGrid>
        <w:gridCol w:w="9026"/>
      </w:tblGrid>
      <w:tr w:rsidR="00541300" w14:paraId="481BCB4D" w14:textId="77777777" w:rsidTr="00541300">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541300" w14:paraId="5E58362A" w14:textId="77777777">
              <w:tc>
                <w:tcPr>
                  <w:tcW w:w="0" w:type="auto"/>
                  <w:tcMar>
                    <w:top w:w="0" w:type="dxa"/>
                    <w:left w:w="270" w:type="dxa"/>
                    <w:bottom w:w="135" w:type="dxa"/>
                    <w:right w:w="270" w:type="dxa"/>
                  </w:tcMar>
                  <w:hideMark/>
                </w:tcPr>
                <w:p w14:paraId="21C48207" w14:textId="77777777" w:rsidR="00541300" w:rsidRDefault="00541300">
                  <w:pPr>
                    <w:spacing w:before="150" w:after="150" w:line="300" w:lineRule="auto"/>
                    <w:rPr>
                      <w:rFonts w:ascii="Arial" w:hAnsi="Arial" w:cs="Arial"/>
                      <w:color w:val="666666"/>
                      <w:sz w:val="24"/>
                      <w:szCs w:val="24"/>
                    </w:rPr>
                  </w:pPr>
                  <w:r>
                    <w:rPr>
                      <w:rStyle w:val="Strong"/>
                      <w:rFonts w:ascii="Arial" w:hAnsi="Arial" w:cs="Arial"/>
                      <w:color w:val="666666"/>
                      <w:sz w:val="24"/>
                      <w:szCs w:val="24"/>
                    </w:rPr>
                    <w:t xml:space="preserve">Chris </w:t>
                  </w:r>
                  <w:proofErr w:type="spellStart"/>
                  <w:r>
                    <w:rPr>
                      <w:rStyle w:val="Strong"/>
                      <w:rFonts w:ascii="Arial" w:hAnsi="Arial" w:cs="Arial"/>
                      <w:color w:val="666666"/>
                      <w:sz w:val="24"/>
                      <w:szCs w:val="24"/>
                    </w:rPr>
                    <w:t>Runeckles</w:t>
                  </w:r>
                  <w:proofErr w:type="spellEnd"/>
                  <w:r>
                    <w:rPr>
                      <w:rStyle w:val="Strong"/>
                      <w:rFonts w:ascii="Arial" w:hAnsi="Arial" w:cs="Arial"/>
                      <w:color w:val="666666"/>
                      <w:sz w:val="24"/>
                      <w:szCs w:val="24"/>
                    </w:rPr>
                    <w:t>, Assistant Director and Assistant Headteacher with responsibility for teaching and learning at Durrington Research School, shares his advice on using metacognitive questioning and modelling effectively to maximise the benefits for students. </w:t>
                  </w:r>
                  <w:r>
                    <w:rPr>
                      <w:rFonts w:ascii="Arial" w:hAnsi="Arial" w:cs="Arial"/>
                      <w:color w:val="666666"/>
                      <w:sz w:val="24"/>
                      <w:szCs w:val="24"/>
                    </w:rPr>
                    <w:br/>
                  </w:r>
                  <w:r>
                    <w:rPr>
                      <w:rFonts w:ascii="Arial" w:hAnsi="Arial" w:cs="Arial"/>
                      <w:color w:val="666666"/>
                      <w:sz w:val="24"/>
                      <w:szCs w:val="24"/>
                    </w:rPr>
                    <w:br/>
                    <w:t xml:space="preserve">Metacognition is a tricky customer. It is currently somewhat of an educational zeitgeist, with the term popping up all over training programmes, </w:t>
                  </w:r>
                  <w:proofErr w:type="gramStart"/>
                  <w:r>
                    <w:rPr>
                      <w:rFonts w:ascii="Arial" w:hAnsi="Arial" w:cs="Arial"/>
                      <w:color w:val="666666"/>
                      <w:sz w:val="24"/>
                      <w:szCs w:val="24"/>
                    </w:rPr>
                    <w:t>blogs</w:t>
                  </w:r>
                  <w:proofErr w:type="gramEnd"/>
                  <w:r>
                    <w:rPr>
                      <w:rFonts w:ascii="Arial" w:hAnsi="Arial" w:cs="Arial"/>
                      <w:color w:val="666666"/>
                      <w:sz w:val="24"/>
                      <w:szCs w:val="24"/>
                    </w:rPr>
                    <w:t xml:space="preserve"> and improvement plans. However, despite this rockstar status, its rewards often remain tantalisingly out of reach.</w:t>
                  </w:r>
                  <w:r>
                    <w:rPr>
                      <w:rFonts w:ascii="Arial" w:hAnsi="Arial" w:cs="Arial"/>
                      <w:color w:val="666666"/>
                      <w:sz w:val="24"/>
                      <w:szCs w:val="24"/>
                    </w:rPr>
                    <w:br/>
                    <w:t> </w:t>
                  </w:r>
                </w:p>
                <w:p w14:paraId="0ABD184B" w14:textId="77777777" w:rsidR="00541300" w:rsidRDefault="00541300">
                  <w:pPr>
                    <w:spacing w:before="150" w:after="150" w:line="300" w:lineRule="auto"/>
                    <w:rPr>
                      <w:rFonts w:ascii="Arial" w:hAnsi="Arial" w:cs="Arial"/>
                      <w:color w:val="666666"/>
                      <w:sz w:val="24"/>
                      <w:szCs w:val="24"/>
                    </w:rPr>
                  </w:pPr>
                  <w:r>
                    <w:rPr>
                      <w:rFonts w:ascii="Arial" w:hAnsi="Arial" w:cs="Arial"/>
                      <w:color w:val="666666"/>
                      <w:sz w:val="24"/>
                      <w:szCs w:val="24"/>
                    </w:rPr>
                    <w:t>The reason for this gulf between potential and reality is its perceived complexity and intangible nature. A large body of research evidence stretching back to the 1970s draws teachers in by promising a transformational impact on learning. However, how to turn these principles into practical classroom strategies can be unclear, leading to these dramatic effects remaining unrealised.</w:t>
                  </w:r>
                </w:p>
                <w:p w14:paraId="1359AF3E" w14:textId="77777777" w:rsidR="00541300" w:rsidRDefault="00541300">
                  <w:pPr>
                    <w:spacing w:before="150" w:after="150" w:line="300" w:lineRule="auto"/>
                    <w:rPr>
                      <w:rFonts w:ascii="Arial" w:hAnsi="Arial" w:cs="Arial"/>
                      <w:color w:val="666666"/>
                      <w:sz w:val="24"/>
                      <w:szCs w:val="24"/>
                    </w:rPr>
                  </w:pPr>
                  <w:r>
                    <w:rPr>
                      <w:rFonts w:ascii="Arial" w:hAnsi="Arial" w:cs="Arial"/>
                      <w:color w:val="666666"/>
                      <w:sz w:val="24"/>
                      <w:szCs w:val="24"/>
                    </w:rPr>
                    <w:br/>
                    <w:t>Having wrestled with the implementation of metacognition for several years, the fog is now starting to lift, and I have begun to see both why metacognitive interventions can stall, and where perhaps we should be focusing our efforts. The starting point must be grasping the fundamental principles. Once these are understood, where and how to intervene as a teacher starts to become more obvious. </w:t>
                  </w:r>
                  <w:r>
                    <w:rPr>
                      <w:rFonts w:ascii="Arial" w:hAnsi="Arial" w:cs="Arial"/>
                      <w:color w:val="666666"/>
                      <w:sz w:val="24"/>
                      <w:szCs w:val="24"/>
                    </w:rPr>
                    <w:br/>
                    <w:t> </w:t>
                  </w:r>
                </w:p>
                <w:p w14:paraId="72A4A7A0" w14:textId="77777777" w:rsidR="00541300" w:rsidRDefault="00541300">
                  <w:pPr>
                    <w:spacing w:before="150" w:after="150" w:line="300" w:lineRule="auto"/>
                    <w:rPr>
                      <w:rFonts w:ascii="Arial" w:hAnsi="Arial" w:cs="Arial"/>
                      <w:color w:val="666666"/>
                      <w:sz w:val="24"/>
                      <w:szCs w:val="24"/>
                    </w:rPr>
                  </w:pPr>
                  <w:r>
                    <w:rPr>
                      <w:rFonts w:ascii="Arial" w:hAnsi="Arial" w:cs="Arial"/>
                      <w:color w:val="666666"/>
                      <w:sz w:val="24"/>
                      <w:szCs w:val="24"/>
                    </w:rPr>
                    <w:t>Simply put, metacognition is about how learners plan, monitor and evaluate their learning. </w:t>
                  </w:r>
                </w:p>
                <w:p w14:paraId="31BF979E" w14:textId="77777777" w:rsidR="00541300" w:rsidRDefault="00541300">
                  <w:pPr>
                    <w:spacing w:before="150" w:after="150" w:line="300" w:lineRule="auto"/>
                    <w:rPr>
                      <w:rFonts w:ascii="Arial" w:hAnsi="Arial" w:cs="Arial"/>
                      <w:color w:val="666666"/>
                      <w:sz w:val="24"/>
                      <w:szCs w:val="24"/>
                    </w:rPr>
                  </w:pPr>
                  <w:r>
                    <w:rPr>
                      <w:rFonts w:ascii="Arial" w:hAnsi="Arial" w:cs="Arial"/>
                      <w:color w:val="666666"/>
                      <w:sz w:val="24"/>
                      <w:szCs w:val="24"/>
                    </w:rPr>
                    <w:br/>
                    <w:t>Commonly, it is referred to as ‘thinking about thinking’. However, that definition fails to address the purposefulness of metacognitive thought. Idly thinking about the thoughts drifting through your mind does not aid learning. For it to be genuinely metacognitive, then the thinking needs to be purposefully directing children's choices in relation to their learning.</w:t>
                  </w:r>
                </w:p>
                <w:p w14:paraId="1E2850DB" w14:textId="77777777" w:rsidR="00541300" w:rsidRDefault="00541300">
                  <w:pPr>
                    <w:spacing w:before="150" w:after="150" w:line="300" w:lineRule="auto"/>
                    <w:rPr>
                      <w:rFonts w:ascii="Arial" w:hAnsi="Arial" w:cs="Arial"/>
                      <w:color w:val="666666"/>
                      <w:sz w:val="24"/>
                      <w:szCs w:val="24"/>
                    </w:rPr>
                  </w:pPr>
                  <w:r>
                    <w:rPr>
                      <w:rFonts w:ascii="Arial" w:hAnsi="Arial" w:cs="Arial"/>
                      <w:color w:val="666666"/>
                      <w:sz w:val="24"/>
                      <w:szCs w:val="24"/>
                    </w:rPr>
                    <w:lastRenderedPageBreak/>
                    <w:br/>
                    <w:t>To exemplify this, we could use the example of a Year 7 student and a spelling test. Leading up to the test, the student may display metacognitive thinking in how they prepare. Knowing that retrieval practice is a useful strategy, they might use flashcards to test themselves. If they understand themselves and know their own changes in motivation at different times of the day, they might also choose to practice before dinner to ensure they were at their most focused. </w:t>
                  </w:r>
                </w:p>
                <w:p w14:paraId="0BB2ADD7" w14:textId="77777777" w:rsidR="00541300" w:rsidRDefault="00541300">
                  <w:pPr>
                    <w:spacing w:before="150" w:after="150" w:line="300" w:lineRule="auto"/>
                    <w:rPr>
                      <w:rFonts w:ascii="Arial" w:hAnsi="Arial" w:cs="Arial"/>
                      <w:color w:val="666666"/>
                      <w:sz w:val="24"/>
                      <w:szCs w:val="24"/>
                    </w:rPr>
                  </w:pPr>
                  <w:r>
                    <w:rPr>
                      <w:rFonts w:ascii="Arial" w:hAnsi="Arial" w:cs="Arial"/>
                      <w:color w:val="666666"/>
                      <w:sz w:val="24"/>
                      <w:szCs w:val="24"/>
                    </w:rPr>
                    <w:br/>
                    <w:t>Metacognitive thought could also take place during and after the test. While completing it, the student may be monitoring the success of their preparation as they notice that they are confident with spelling several words they kept getting wrong while practising. </w:t>
                  </w:r>
                </w:p>
                <w:p w14:paraId="60C3C122" w14:textId="77777777" w:rsidR="00541300" w:rsidRDefault="00541300">
                  <w:pPr>
                    <w:spacing w:before="150" w:after="150" w:line="300" w:lineRule="auto"/>
                    <w:rPr>
                      <w:rFonts w:ascii="Arial" w:hAnsi="Arial" w:cs="Arial"/>
                      <w:color w:val="666666"/>
                      <w:sz w:val="24"/>
                      <w:szCs w:val="24"/>
                    </w:rPr>
                  </w:pPr>
                  <w:r>
                    <w:rPr>
                      <w:rFonts w:ascii="Arial" w:hAnsi="Arial" w:cs="Arial"/>
                      <w:color w:val="666666"/>
                      <w:sz w:val="24"/>
                      <w:szCs w:val="24"/>
                    </w:rPr>
                    <w:br/>
                    <w:t>After the test, they may evaluate by recognising that it had gone better than a previous test for which they had not used flashcards. They would then alter their behaviour based on this.</w:t>
                  </w:r>
                </w:p>
                <w:p w14:paraId="50D51FC0" w14:textId="77777777" w:rsidR="00541300" w:rsidRDefault="00541300">
                  <w:pPr>
                    <w:spacing w:before="150" w:after="150" w:line="300" w:lineRule="auto"/>
                    <w:rPr>
                      <w:rFonts w:ascii="Arial" w:hAnsi="Arial" w:cs="Arial"/>
                      <w:color w:val="666666"/>
                      <w:sz w:val="24"/>
                      <w:szCs w:val="24"/>
                    </w:rPr>
                  </w:pPr>
                  <w:r>
                    <w:rPr>
                      <w:rFonts w:ascii="Arial" w:hAnsi="Arial" w:cs="Arial"/>
                      <w:color w:val="666666"/>
                      <w:sz w:val="24"/>
                      <w:szCs w:val="24"/>
                    </w:rPr>
                    <w:br/>
                    <w:t>The metacognitive part here is how the student thinks about, and crucially makes deliberate choices about their learning. This makes them a self-regulating learner. Metacognition is one part of this. </w:t>
                  </w:r>
                </w:p>
                <w:p w14:paraId="1B2FDFE5" w14:textId="77777777" w:rsidR="00541300" w:rsidRDefault="00541300">
                  <w:pPr>
                    <w:spacing w:before="150" w:after="150" w:line="300" w:lineRule="auto"/>
                    <w:rPr>
                      <w:rFonts w:ascii="Arial" w:hAnsi="Arial" w:cs="Arial"/>
                      <w:color w:val="666666"/>
                      <w:sz w:val="24"/>
                      <w:szCs w:val="24"/>
                    </w:rPr>
                  </w:pPr>
                  <w:r>
                    <w:rPr>
                      <w:rFonts w:ascii="Arial" w:hAnsi="Arial" w:cs="Arial"/>
                      <w:color w:val="666666"/>
                      <w:sz w:val="24"/>
                      <w:szCs w:val="24"/>
                    </w:rPr>
                    <w:br/>
                    <w:t xml:space="preserve">To be self-regulating, you also need the cognitive strategies (such as flashcards) to regulate and the motivation to do so. If any one of these elements is missing, self-regulation will not happen. This is because we </w:t>
                  </w:r>
                  <w:proofErr w:type="gramStart"/>
                  <w:r>
                    <w:rPr>
                      <w:rFonts w:ascii="Arial" w:hAnsi="Arial" w:cs="Arial"/>
                      <w:color w:val="666666"/>
                      <w:sz w:val="24"/>
                      <w:szCs w:val="24"/>
                    </w:rPr>
                    <w:t>can’t</w:t>
                  </w:r>
                  <w:proofErr w:type="gramEnd"/>
                  <w:r>
                    <w:rPr>
                      <w:rFonts w:ascii="Arial" w:hAnsi="Arial" w:cs="Arial"/>
                      <w:color w:val="666666"/>
                      <w:sz w:val="24"/>
                      <w:szCs w:val="24"/>
                    </w:rPr>
                    <w:t xml:space="preserve"> think metacognitively about what we don’t know, and if we can’t be bothered to engage with something, then the self-regulation process will never start.</w:t>
                  </w:r>
                </w:p>
                <w:p w14:paraId="16AD1130" w14:textId="77777777" w:rsidR="00541300" w:rsidRDefault="00541300">
                  <w:pPr>
                    <w:spacing w:before="150" w:after="150" w:line="300" w:lineRule="auto"/>
                    <w:rPr>
                      <w:rFonts w:ascii="Arial" w:hAnsi="Arial" w:cs="Arial"/>
                      <w:color w:val="666666"/>
                      <w:sz w:val="24"/>
                      <w:szCs w:val="24"/>
                    </w:rPr>
                  </w:pPr>
                  <w:r>
                    <w:rPr>
                      <w:rFonts w:ascii="Arial" w:hAnsi="Arial" w:cs="Arial"/>
                      <w:color w:val="666666"/>
                      <w:sz w:val="24"/>
                      <w:szCs w:val="24"/>
                    </w:rPr>
                    <w:br/>
                    <w:t>What then should we be doing to build this sort of thinking in the children we teach? Ultimately it is about two things: showing them what this sort of thinking looks like, and then finding ways to elicit those thoughts in them. Two of the best bets for this are metacognitive modelling and questioning.</w:t>
                  </w:r>
                </w:p>
                <w:p w14:paraId="08790C5F" w14:textId="77777777" w:rsidR="00541300" w:rsidRDefault="00541300">
                  <w:pPr>
                    <w:spacing w:before="150" w:after="150" w:line="300" w:lineRule="auto"/>
                    <w:rPr>
                      <w:rFonts w:ascii="Arial" w:hAnsi="Arial" w:cs="Arial"/>
                      <w:color w:val="666666"/>
                      <w:sz w:val="24"/>
                      <w:szCs w:val="24"/>
                    </w:rPr>
                  </w:pPr>
                  <w:r>
                    <w:rPr>
                      <w:rFonts w:ascii="Arial" w:hAnsi="Arial" w:cs="Arial"/>
                      <w:color w:val="666666"/>
                      <w:sz w:val="24"/>
                      <w:szCs w:val="24"/>
                    </w:rPr>
                    <w:br/>
                    <w:t>When modelling processes, we also model our thinking, unpacking the thought processes of an expert alongside our instructions about what to do. </w:t>
                  </w:r>
                  <w:proofErr w:type="gramStart"/>
                  <w:r>
                    <w:rPr>
                      <w:rFonts w:ascii="Arial" w:hAnsi="Arial" w:cs="Arial"/>
                      <w:color w:val="666666"/>
                      <w:sz w:val="24"/>
                      <w:szCs w:val="24"/>
                    </w:rPr>
                    <w:t>It’s</w:t>
                  </w:r>
                  <w:proofErr w:type="gramEnd"/>
                  <w:r>
                    <w:rPr>
                      <w:rFonts w:ascii="Arial" w:hAnsi="Arial" w:cs="Arial"/>
                      <w:color w:val="666666"/>
                      <w:sz w:val="24"/>
                      <w:szCs w:val="24"/>
                    </w:rPr>
                    <w:t xml:space="preserve"> not just ‘And next you do this’, but also ‘What I’m thinking about at this point is…’.</w:t>
                  </w:r>
                </w:p>
                <w:p w14:paraId="26DC5940" w14:textId="77777777" w:rsidR="00541300" w:rsidRDefault="00541300">
                  <w:pPr>
                    <w:spacing w:before="150" w:after="150" w:line="300" w:lineRule="auto"/>
                    <w:rPr>
                      <w:rFonts w:ascii="Arial" w:hAnsi="Arial" w:cs="Arial"/>
                      <w:color w:val="666666"/>
                      <w:sz w:val="24"/>
                      <w:szCs w:val="24"/>
                    </w:rPr>
                  </w:pPr>
                  <w:r>
                    <w:rPr>
                      <w:rFonts w:ascii="Arial" w:hAnsi="Arial" w:cs="Arial"/>
                      <w:color w:val="666666"/>
                      <w:sz w:val="24"/>
                      <w:szCs w:val="24"/>
                    </w:rPr>
                    <w:lastRenderedPageBreak/>
                    <w:br/>
                    <w:t>Furthermore, when asking questions, we not only ask for the recall of knowledge or to check their understanding, but we also ask questions that require students to consider the purpose of the activity. Questions such as ‘Why do we do tasks such as this?’ incorporated into habitual practice can start to build the sort of thinking we need students to engage in to become self-regulating learners.</w:t>
                  </w:r>
                </w:p>
                <w:p w14:paraId="6E58C3B0" w14:textId="77777777" w:rsidR="00541300" w:rsidRDefault="00541300">
                  <w:pPr>
                    <w:spacing w:before="150" w:after="150" w:line="300" w:lineRule="auto"/>
                    <w:rPr>
                      <w:rFonts w:ascii="Arial" w:hAnsi="Arial" w:cs="Arial"/>
                      <w:color w:val="666666"/>
                      <w:sz w:val="24"/>
                      <w:szCs w:val="24"/>
                    </w:rPr>
                  </w:pPr>
                  <w:r>
                    <w:rPr>
                      <w:rFonts w:ascii="Arial" w:hAnsi="Arial" w:cs="Arial"/>
                      <w:color w:val="666666"/>
                      <w:sz w:val="24"/>
                      <w:szCs w:val="24"/>
                    </w:rPr>
                    <w:br/>
                    <w:t>Meeting the challenge of implementing metacognition effectively takes a shift in our approach that adds an extra nuance to our teaching. However, the rewards of getting this right make it worth the effort.</w:t>
                  </w:r>
                </w:p>
              </w:tc>
            </w:tr>
          </w:tbl>
          <w:p w14:paraId="7922D394" w14:textId="77777777" w:rsidR="00541300" w:rsidRDefault="00541300">
            <w:pPr>
              <w:rPr>
                <w:rFonts w:ascii="Times New Roman" w:eastAsia="Times New Roman" w:hAnsi="Times New Roman" w:cs="Times New Roman"/>
                <w:sz w:val="20"/>
                <w:szCs w:val="20"/>
              </w:rPr>
            </w:pPr>
          </w:p>
        </w:tc>
      </w:tr>
    </w:tbl>
    <w:p w14:paraId="6D533099" w14:textId="77777777" w:rsidR="00541300" w:rsidRDefault="00541300" w:rsidP="00541300"/>
    <w:tbl>
      <w:tblPr>
        <w:tblW w:w="5000" w:type="pct"/>
        <w:tblCellMar>
          <w:left w:w="0" w:type="dxa"/>
          <w:right w:w="0" w:type="dxa"/>
        </w:tblCellMar>
        <w:tblLook w:val="04A0" w:firstRow="1" w:lastRow="0" w:firstColumn="1" w:lastColumn="0" w:noHBand="0" w:noVBand="1"/>
      </w:tblPr>
      <w:tblGrid>
        <w:gridCol w:w="9026"/>
      </w:tblGrid>
      <w:tr w:rsidR="00541300" w14:paraId="365D0A30" w14:textId="77777777" w:rsidTr="00541300">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541300" w14:paraId="589A8E38" w14:textId="77777777">
              <w:tc>
                <w:tcPr>
                  <w:tcW w:w="0" w:type="auto"/>
                  <w:tcMar>
                    <w:top w:w="0" w:type="dxa"/>
                    <w:left w:w="270" w:type="dxa"/>
                    <w:bottom w:w="135" w:type="dxa"/>
                    <w:right w:w="270" w:type="dxa"/>
                  </w:tcMar>
                  <w:hideMark/>
                </w:tcPr>
                <w:p w14:paraId="2B7C3F71" w14:textId="77777777" w:rsidR="00541300" w:rsidRDefault="00541300"/>
              </w:tc>
            </w:tr>
          </w:tbl>
          <w:p w14:paraId="3C4ECEB7" w14:textId="77777777" w:rsidR="00541300" w:rsidRDefault="00541300">
            <w:pPr>
              <w:rPr>
                <w:rFonts w:ascii="Times New Roman" w:eastAsia="Times New Roman" w:hAnsi="Times New Roman" w:cs="Times New Roman"/>
                <w:sz w:val="20"/>
                <w:szCs w:val="20"/>
              </w:rPr>
            </w:pPr>
          </w:p>
        </w:tc>
      </w:tr>
    </w:tbl>
    <w:p w14:paraId="2A5CA6C2" w14:textId="77777777" w:rsidR="00541300" w:rsidRDefault="00541300" w:rsidP="00541300"/>
    <w:tbl>
      <w:tblPr>
        <w:tblW w:w="5000" w:type="pct"/>
        <w:tblCellMar>
          <w:left w:w="0" w:type="dxa"/>
          <w:right w:w="0" w:type="dxa"/>
        </w:tblCellMar>
        <w:tblLook w:val="04A0" w:firstRow="1" w:lastRow="0" w:firstColumn="1" w:lastColumn="0" w:noHBand="0" w:noVBand="1"/>
      </w:tblPr>
      <w:tblGrid>
        <w:gridCol w:w="9026"/>
      </w:tblGrid>
      <w:tr w:rsidR="00541300" w14:paraId="336C2590" w14:textId="77777777" w:rsidTr="00541300">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541300" w14:paraId="35910822" w14:textId="77777777">
              <w:tc>
                <w:tcPr>
                  <w:tcW w:w="0" w:type="auto"/>
                  <w:tcMar>
                    <w:top w:w="0" w:type="dxa"/>
                    <w:left w:w="270" w:type="dxa"/>
                    <w:bottom w:w="135" w:type="dxa"/>
                    <w:right w:w="270" w:type="dxa"/>
                  </w:tcMar>
                  <w:hideMark/>
                </w:tcPr>
                <w:p w14:paraId="3F7639B7" w14:textId="77777777" w:rsidR="00541300" w:rsidRDefault="00541300">
                  <w:pPr>
                    <w:spacing w:line="300" w:lineRule="auto"/>
                    <w:rPr>
                      <w:rFonts w:ascii="Open Sans" w:hAnsi="Open Sans" w:cs="Open Sans"/>
                      <w:color w:val="666666"/>
                      <w:sz w:val="24"/>
                      <w:szCs w:val="24"/>
                    </w:rPr>
                  </w:pPr>
                  <w:r>
                    <w:rPr>
                      <w:rStyle w:val="Strong"/>
                      <w:rFonts w:ascii="Open Sans" w:hAnsi="Open Sans" w:cs="Open Sans"/>
                      <w:color w:val="0C96D3"/>
                      <w:sz w:val="24"/>
                      <w:szCs w:val="24"/>
                    </w:rPr>
                    <w:t xml:space="preserve">Chris </w:t>
                  </w:r>
                  <w:proofErr w:type="spellStart"/>
                  <w:r>
                    <w:rPr>
                      <w:rStyle w:val="Strong"/>
                      <w:rFonts w:ascii="Open Sans" w:hAnsi="Open Sans" w:cs="Open Sans"/>
                      <w:color w:val="0C96D3"/>
                      <w:sz w:val="24"/>
                      <w:szCs w:val="24"/>
                    </w:rPr>
                    <w:t>Runeckles</w:t>
                  </w:r>
                  <w:proofErr w:type="spellEnd"/>
                  <w:r>
                    <w:rPr>
                      <w:rFonts w:ascii="Open Sans" w:hAnsi="Open Sans" w:cs="Open Sans"/>
                      <w:b/>
                      <w:bCs/>
                      <w:color w:val="0C96D3"/>
                      <w:sz w:val="24"/>
                      <w:szCs w:val="24"/>
                    </w:rPr>
                    <w:br/>
                  </w:r>
                  <w:r>
                    <w:rPr>
                      <w:rStyle w:val="Strong"/>
                      <w:rFonts w:ascii="Open Sans" w:hAnsi="Open Sans" w:cs="Open Sans"/>
                      <w:color w:val="0C96D3"/>
                      <w:sz w:val="24"/>
                      <w:szCs w:val="24"/>
                    </w:rPr>
                    <w:t> </w:t>
                  </w:r>
                  <w:r>
                    <w:rPr>
                      <w:rFonts w:ascii="Open Sans" w:hAnsi="Open Sans" w:cs="Open Sans"/>
                      <w:color w:val="666666"/>
                      <w:sz w:val="24"/>
                      <w:szCs w:val="24"/>
                    </w:rPr>
                    <w:br/>
                    <w:t xml:space="preserve">Chris </w:t>
                  </w:r>
                  <w:proofErr w:type="spellStart"/>
                  <w:r>
                    <w:rPr>
                      <w:rFonts w:ascii="Open Sans" w:hAnsi="Open Sans" w:cs="Open Sans"/>
                      <w:color w:val="666666"/>
                      <w:sz w:val="24"/>
                      <w:szCs w:val="24"/>
                    </w:rPr>
                    <w:t>Runeckles</w:t>
                  </w:r>
                  <w:proofErr w:type="spellEnd"/>
                  <w:r>
                    <w:rPr>
                      <w:rFonts w:ascii="Open Sans" w:hAnsi="Open Sans" w:cs="Open Sans"/>
                      <w:color w:val="666666"/>
                      <w:sz w:val="24"/>
                      <w:szCs w:val="24"/>
                    </w:rPr>
                    <w:t xml:space="preserve"> is a history teacher with 17 years of classroom experience. He currently works at Durrington Research School where he is Assistant Director and Assistant Headteacher. He is also the author of </w:t>
                  </w:r>
                  <w:r>
                    <w:rPr>
                      <w:rStyle w:val="Emphasis"/>
                      <w:rFonts w:ascii="Open Sans" w:hAnsi="Open Sans" w:cs="Open Sans"/>
                      <w:color w:val="666666"/>
                      <w:sz w:val="24"/>
                      <w:szCs w:val="24"/>
                    </w:rPr>
                    <w:t>Making Every History Lesson Count.</w:t>
                  </w:r>
                  <w:r>
                    <w:rPr>
                      <w:rFonts w:ascii="Open Sans" w:hAnsi="Open Sans" w:cs="Open Sans"/>
                      <w:color w:val="666666"/>
                      <w:sz w:val="24"/>
                      <w:szCs w:val="24"/>
                    </w:rPr>
                    <w:t xml:space="preserve"> </w:t>
                  </w:r>
                </w:p>
              </w:tc>
            </w:tr>
          </w:tbl>
          <w:p w14:paraId="17F1D459" w14:textId="77777777" w:rsidR="00541300" w:rsidRDefault="00541300">
            <w:pPr>
              <w:rPr>
                <w:rFonts w:ascii="Times New Roman" w:eastAsia="Times New Roman" w:hAnsi="Times New Roman" w:cs="Times New Roman"/>
                <w:sz w:val="20"/>
                <w:szCs w:val="20"/>
              </w:rPr>
            </w:pPr>
          </w:p>
        </w:tc>
      </w:tr>
    </w:tbl>
    <w:p w14:paraId="56E9C6E0" w14:textId="77777777" w:rsidR="00541300" w:rsidRDefault="00541300" w:rsidP="00541300"/>
    <w:tbl>
      <w:tblPr>
        <w:tblW w:w="5000" w:type="pct"/>
        <w:tblCellMar>
          <w:left w:w="0" w:type="dxa"/>
          <w:right w:w="0" w:type="dxa"/>
        </w:tblCellMar>
        <w:tblLook w:val="04A0" w:firstRow="1" w:lastRow="0" w:firstColumn="1" w:lastColumn="0" w:noHBand="0" w:noVBand="1"/>
      </w:tblPr>
      <w:tblGrid>
        <w:gridCol w:w="9026"/>
      </w:tblGrid>
      <w:tr w:rsidR="00541300" w14:paraId="6ADB9AFB" w14:textId="77777777" w:rsidTr="00541300">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86"/>
            </w:tblGrid>
            <w:tr w:rsidR="00541300" w14:paraId="6D2F88EB" w14:textId="77777777">
              <w:tc>
                <w:tcPr>
                  <w:tcW w:w="0" w:type="auto"/>
                  <w:tcBorders>
                    <w:top w:val="single" w:sz="12" w:space="0" w:color="EAEAEA"/>
                    <w:left w:val="nil"/>
                    <w:bottom w:val="nil"/>
                    <w:right w:val="nil"/>
                  </w:tcBorders>
                  <w:vAlign w:val="center"/>
                  <w:hideMark/>
                </w:tcPr>
                <w:p w14:paraId="617F56BD" w14:textId="77777777" w:rsidR="00541300" w:rsidRDefault="00541300"/>
              </w:tc>
            </w:tr>
          </w:tbl>
          <w:p w14:paraId="53A48DAA" w14:textId="77777777" w:rsidR="00541300" w:rsidRDefault="00541300">
            <w:pPr>
              <w:rPr>
                <w:rFonts w:ascii="Times New Roman" w:eastAsia="Times New Roman" w:hAnsi="Times New Roman" w:cs="Times New Roman"/>
                <w:sz w:val="20"/>
                <w:szCs w:val="20"/>
              </w:rPr>
            </w:pPr>
          </w:p>
        </w:tc>
      </w:tr>
    </w:tbl>
    <w:p w14:paraId="05D5826D" w14:textId="77777777" w:rsidR="00541300" w:rsidRDefault="00541300" w:rsidP="00541300"/>
    <w:tbl>
      <w:tblPr>
        <w:tblW w:w="5000" w:type="pct"/>
        <w:tblCellMar>
          <w:left w:w="0" w:type="dxa"/>
          <w:right w:w="0" w:type="dxa"/>
        </w:tblCellMar>
        <w:tblLook w:val="04A0" w:firstRow="1" w:lastRow="0" w:firstColumn="1" w:lastColumn="0" w:noHBand="0" w:noVBand="1"/>
      </w:tblPr>
      <w:tblGrid>
        <w:gridCol w:w="9026"/>
      </w:tblGrid>
      <w:tr w:rsidR="00541300" w14:paraId="422C08E8" w14:textId="77777777" w:rsidTr="00541300">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541300" w14:paraId="79AB6942" w14:textId="77777777">
              <w:tc>
                <w:tcPr>
                  <w:tcW w:w="0" w:type="auto"/>
                  <w:tcMar>
                    <w:top w:w="0" w:type="dxa"/>
                    <w:left w:w="270" w:type="dxa"/>
                    <w:bottom w:w="135" w:type="dxa"/>
                    <w:right w:w="270" w:type="dxa"/>
                  </w:tcMar>
                  <w:hideMark/>
                </w:tcPr>
                <w:p w14:paraId="6AF95128" w14:textId="77777777" w:rsidR="00541300" w:rsidRDefault="00541300">
                  <w:pPr>
                    <w:pStyle w:val="Heading3"/>
                    <w:rPr>
                      <w:rFonts w:eastAsia="Times New Roman"/>
                    </w:rPr>
                  </w:pPr>
                  <w:r>
                    <w:rPr>
                      <w:rFonts w:eastAsia="Times New Roman"/>
                    </w:rPr>
                    <w:t>Classroom resources you might like...</w:t>
                  </w:r>
                </w:p>
              </w:tc>
            </w:tr>
          </w:tbl>
          <w:p w14:paraId="3FF20163" w14:textId="77777777" w:rsidR="00541300" w:rsidRDefault="00541300">
            <w:pPr>
              <w:rPr>
                <w:rFonts w:ascii="Times New Roman" w:eastAsia="Times New Roman" w:hAnsi="Times New Roman" w:cs="Times New Roman"/>
                <w:sz w:val="20"/>
                <w:szCs w:val="20"/>
              </w:rPr>
            </w:pPr>
          </w:p>
        </w:tc>
      </w:tr>
    </w:tbl>
    <w:p w14:paraId="2E5E933C" w14:textId="77777777" w:rsidR="00541300" w:rsidRDefault="00541300" w:rsidP="00541300"/>
    <w:tbl>
      <w:tblPr>
        <w:tblW w:w="5000" w:type="pct"/>
        <w:tblCellMar>
          <w:left w:w="0" w:type="dxa"/>
          <w:right w:w="0" w:type="dxa"/>
        </w:tblCellMar>
        <w:tblLook w:val="04A0" w:firstRow="1" w:lastRow="0" w:firstColumn="1" w:lastColumn="0" w:noHBand="0" w:noVBand="1"/>
      </w:tblPr>
      <w:tblGrid>
        <w:gridCol w:w="9026"/>
      </w:tblGrid>
      <w:tr w:rsidR="00541300" w14:paraId="1EE03609" w14:textId="77777777" w:rsidTr="00541300">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541300" w14:paraId="29107CD9"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541300" w14:paraId="2F11C670" w14:textId="77777777">
                    <w:trPr>
                      <w:jc w:val="center"/>
                    </w:trPr>
                    <w:tc>
                      <w:tcPr>
                        <w:tcW w:w="0" w:type="auto"/>
                        <w:vAlign w:val="center"/>
                      </w:tcPr>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541300" w14:paraId="15542115" w14:textId="77777777">
                          <w:tc>
                            <w:tcPr>
                              <w:tcW w:w="2460" w:type="dxa"/>
                              <w:vAlign w:val="center"/>
                              <w:hideMark/>
                            </w:tcPr>
                            <w:p w14:paraId="7D432E4C" w14:textId="02847896" w:rsidR="00541300" w:rsidRDefault="00541300">
                              <w:pPr>
                                <w:jc w:val="center"/>
                              </w:pPr>
                              <w:r>
                                <w:rPr>
                                  <w:noProof/>
                                  <w:color w:val="000000"/>
                                  <w:bdr w:val="none" w:sz="0" w:space="0" w:color="auto" w:frame="1"/>
                                </w:rPr>
                                <w:drawing>
                                  <wp:inline distT="0" distB="0" distL="0" distR="0" wp14:anchorId="3912F0AC" wp14:editId="766E5A20">
                                    <wp:extent cx="1562100" cy="2209800"/>
                                    <wp:effectExtent l="0" t="0" r="0" b="0"/>
                                    <wp:docPr id="3" name="Picture 3" descr="#imag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2209800"/>
                                            </a:xfrm>
                                            <a:prstGeom prst="rect">
                                              <a:avLst/>
                                            </a:prstGeom>
                                            <a:noFill/>
                                            <a:ln>
                                              <a:noFill/>
                                            </a:ln>
                                          </pic:spPr>
                                        </pic:pic>
                                      </a:graphicData>
                                    </a:graphic>
                                  </wp:inline>
                                </w:drawing>
                              </w:r>
                            </w:p>
                          </w:tc>
                        </w:tr>
                        <w:tr w:rsidR="00541300" w14:paraId="46C98095" w14:textId="77777777">
                          <w:tc>
                            <w:tcPr>
                              <w:tcW w:w="0" w:type="auto"/>
                              <w:tcMar>
                                <w:top w:w="300" w:type="dxa"/>
                                <w:left w:w="300" w:type="dxa"/>
                                <w:bottom w:w="300" w:type="dxa"/>
                                <w:right w:w="0" w:type="dxa"/>
                              </w:tcMar>
                              <w:hideMark/>
                            </w:tcPr>
                            <w:p w14:paraId="5785E5B0" w14:textId="77777777" w:rsidR="00541300" w:rsidRDefault="00541300">
                              <w:pPr>
                                <w:spacing w:line="300" w:lineRule="auto"/>
                                <w:rPr>
                                  <w:rFonts w:ascii="Open Sans" w:hAnsi="Open Sans" w:cs="Open Sans"/>
                                  <w:color w:val="666666"/>
                                  <w:sz w:val="24"/>
                                  <w:szCs w:val="24"/>
                                </w:rPr>
                              </w:pPr>
                              <w:hyperlink r:id="rId6" w:tgtFrame="_blank" w:history="1">
                                <w:r>
                                  <w:rPr>
                                    <w:rStyle w:val="Strong"/>
                                    <w:rFonts w:ascii="Open Sans" w:hAnsi="Open Sans" w:cs="Open Sans"/>
                                    <w:color w:val="B51A62"/>
                                    <w:sz w:val="24"/>
                                    <w:szCs w:val="24"/>
                                    <w:u w:val="single"/>
                                  </w:rPr>
                                  <w:t>Learning to learn: how do you learn best?</w:t>
                                </w:r>
                              </w:hyperlink>
                            </w:p>
                          </w:tc>
                        </w:tr>
                      </w:tbl>
                      <w:p w14:paraId="3B56A055" w14:textId="77777777" w:rsidR="00541300" w:rsidRDefault="00541300">
                        <w:pPr>
                          <w:rPr>
                            <w:vanish/>
                          </w:rPr>
                        </w:pPr>
                      </w:p>
                      <w:tbl>
                        <w:tblPr>
                          <w:tblpPr w:leftFromText="45" w:rightFromText="45" w:vertAnchor="text"/>
                          <w:tblW w:w="3000" w:type="dxa"/>
                          <w:tblCellMar>
                            <w:left w:w="0" w:type="dxa"/>
                            <w:right w:w="0" w:type="dxa"/>
                          </w:tblCellMar>
                          <w:tblLook w:val="04A0" w:firstRow="1" w:lastRow="0" w:firstColumn="1" w:lastColumn="0" w:noHBand="0" w:noVBand="1"/>
                        </w:tblPr>
                        <w:tblGrid>
                          <w:gridCol w:w="3000"/>
                        </w:tblGrid>
                        <w:tr w:rsidR="00541300" w14:paraId="294BF47E" w14:textId="77777777">
                          <w:tc>
                            <w:tcPr>
                              <w:tcW w:w="2460" w:type="dxa"/>
                              <w:vAlign w:val="center"/>
                              <w:hideMark/>
                            </w:tcPr>
                            <w:p w14:paraId="0551AC4F" w14:textId="069E3CCB" w:rsidR="00541300" w:rsidRDefault="00541300">
                              <w:pPr>
                                <w:jc w:val="center"/>
                              </w:pPr>
                              <w:r>
                                <w:rPr>
                                  <w:noProof/>
                                  <w:color w:val="000000"/>
                                  <w:bdr w:val="none" w:sz="0" w:space="0" w:color="auto" w:frame="1"/>
                                </w:rPr>
                                <w:drawing>
                                  <wp:inline distT="0" distB="0" distL="0" distR="0" wp14:anchorId="26A7BF2B" wp14:editId="48913B56">
                                    <wp:extent cx="1562100" cy="2209800"/>
                                    <wp:effectExtent l="0" t="0" r="0" b="0"/>
                                    <wp:docPr id="2" name="Picture 2" descr="#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2209800"/>
                                            </a:xfrm>
                                            <a:prstGeom prst="rect">
                                              <a:avLst/>
                                            </a:prstGeom>
                                            <a:noFill/>
                                            <a:ln>
                                              <a:noFill/>
                                            </a:ln>
                                          </pic:spPr>
                                        </pic:pic>
                                      </a:graphicData>
                                    </a:graphic>
                                  </wp:inline>
                                </w:drawing>
                              </w:r>
                            </w:p>
                          </w:tc>
                        </w:tr>
                        <w:tr w:rsidR="00541300" w14:paraId="36BE0103" w14:textId="77777777">
                          <w:tc>
                            <w:tcPr>
                              <w:tcW w:w="0" w:type="auto"/>
                              <w:tcMar>
                                <w:top w:w="300" w:type="dxa"/>
                                <w:left w:w="300" w:type="dxa"/>
                                <w:bottom w:w="300" w:type="dxa"/>
                                <w:right w:w="0" w:type="dxa"/>
                              </w:tcMar>
                              <w:hideMark/>
                            </w:tcPr>
                            <w:p w14:paraId="61EF5C8A" w14:textId="77777777" w:rsidR="00541300" w:rsidRDefault="00541300">
                              <w:pPr>
                                <w:spacing w:line="300" w:lineRule="auto"/>
                                <w:rPr>
                                  <w:rFonts w:ascii="Open Sans" w:hAnsi="Open Sans" w:cs="Open Sans"/>
                                  <w:color w:val="666666"/>
                                  <w:sz w:val="24"/>
                                  <w:szCs w:val="24"/>
                                </w:rPr>
                              </w:pPr>
                              <w:hyperlink r:id="rId9" w:tgtFrame="_blank" w:history="1">
                                <w:r>
                                  <w:rPr>
                                    <w:rStyle w:val="Strong"/>
                                    <w:rFonts w:ascii="Open Sans" w:hAnsi="Open Sans" w:cs="Open Sans"/>
                                    <w:color w:val="B51A62"/>
                                    <w:sz w:val="24"/>
                                    <w:szCs w:val="24"/>
                                    <w:u w:val="single"/>
                                  </w:rPr>
                                  <w:t>Mobilising metacognition CPD webinar</w:t>
                                </w:r>
                              </w:hyperlink>
                            </w:p>
                          </w:tc>
                        </w:tr>
                      </w:tbl>
                      <w:tbl>
                        <w:tblPr>
                          <w:tblpPr w:leftFromText="45" w:rightFromText="45" w:vertAnchor="text" w:tblpXSpec="right" w:tblpYSpec="center"/>
                          <w:tblW w:w="3000" w:type="dxa"/>
                          <w:tblCellMar>
                            <w:left w:w="0" w:type="dxa"/>
                            <w:right w:w="0" w:type="dxa"/>
                          </w:tblCellMar>
                          <w:tblLook w:val="04A0" w:firstRow="1" w:lastRow="0" w:firstColumn="1" w:lastColumn="0" w:noHBand="0" w:noVBand="1"/>
                        </w:tblPr>
                        <w:tblGrid>
                          <w:gridCol w:w="3000"/>
                        </w:tblGrid>
                        <w:tr w:rsidR="00541300" w14:paraId="65BAE95A" w14:textId="77777777">
                          <w:tc>
                            <w:tcPr>
                              <w:tcW w:w="2460" w:type="dxa"/>
                              <w:vAlign w:val="center"/>
                              <w:hideMark/>
                            </w:tcPr>
                            <w:p w14:paraId="323992A1" w14:textId="504082E6" w:rsidR="00541300" w:rsidRDefault="00541300">
                              <w:pPr>
                                <w:jc w:val="center"/>
                              </w:pPr>
                              <w:r>
                                <w:rPr>
                                  <w:noProof/>
                                  <w:color w:val="000000"/>
                                  <w:bdr w:val="none" w:sz="0" w:space="0" w:color="auto" w:frame="1"/>
                                </w:rPr>
                                <w:drawing>
                                  <wp:inline distT="0" distB="0" distL="0" distR="0" wp14:anchorId="0C5D8F71" wp14:editId="428054C3">
                                    <wp:extent cx="1562100" cy="2209800"/>
                                    <wp:effectExtent l="0" t="0" r="0" b="0"/>
                                    <wp:docPr id="1" name="Picture 1" descr="#im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2209800"/>
                                            </a:xfrm>
                                            <a:prstGeom prst="rect">
                                              <a:avLst/>
                                            </a:prstGeom>
                                            <a:noFill/>
                                            <a:ln>
                                              <a:noFill/>
                                            </a:ln>
                                          </pic:spPr>
                                        </pic:pic>
                                      </a:graphicData>
                                    </a:graphic>
                                  </wp:inline>
                                </w:drawing>
                              </w:r>
                            </w:p>
                          </w:tc>
                        </w:tr>
                        <w:tr w:rsidR="00541300" w14:paraId="13840E31" w14:textId="77777777">
                          <w:tc>
                            <w:tcPr>
                              <w:tcW w:w="0" w:type="auto"/>
                              <w:tcMar>
                                <w:top w:w="300" w:type="dxa"/>
                                <w:left w:w="300" w:type="dxa"/>
                                <w:bottom w:w="300" w:type="dxa"/>
                                <w:right w:w="0" w:type="dxa"/>
                              </w:tcMar>
                              <w:hideMark/>
                            </w:tcPr>
                            <w:p w14:paraId="4E970ABF" w14:textId="77777777" w:rsidR="00541300" w:rsidRDefault="00541300">
                              <w:pPr>
                                <w:spacing w:line="300" w:lineRule="auto"/>
                                <w:rPr>
                                  <w:rFonts w:ascii="Open Sans" w:hAnsi="Open Sans" w:cs="Open Sans"/>
                                  <w:color w:val="666666"/>
                                  <w:sz w:val="24"/>
                                  <w:szCs w:val="24"/>
                                </w:rPr>
                              </w:pPr>
                              <w:hyperlink r:id="rId12" w:tgtFrame="_blank" w:history="1">
                                <w:r>
                                  <w:rPr>
                                    <w:rStyle w:val="Strong"/>
                                    <w:rFonts w:ascii="Open Sans" w:hAnsi="Open Sans" w:cs="Open Sans"/>
                                    <w:color w:val="B51A62"/>
                                    <w:sz w:val="24"/>
                                    <w:szCs w:val="24"/>
                                    <w:u w:val="single"/>
                                  </w:rPr>
                                  <w:t>Approaches to thinking in the classroom</w:t>
                                </w:r>
                              </w:hyperlink>
                            </w:p>
                          </w:tc>
                        </w:tr>
                      </w:tbl>
                      <w:p w14:paraId="4C21283F" w14:textId="77777777" w:rsidR="00541300" w:rsidRDefault="00541300">
                        <w:pPr>
                          <w:rPr>
                            <w:rFonts w:eastAsia="Times New Roman"/>
                          </w:rPr>
                        </w:pPr>
                      </w:p>
                    </w:tc>
                  </w:tr>
                </w:tbl>
                <w:p w14:paraId="57F69073" w14:textId="77777777" w:rsidR="00541300" w:rsidRDefault="00541300">
                  <w:pPr>
                    <w:jc w:val="center"/>
                    <w:rPr>
                      <w:rFonts w:ascii="Times New Roman" w:eastAsia="Times New Roman" w:hAnsi="Times New Roman" w:cs="Times New Roman"/>
                      <w:sz w:val="20"/>
                      <w:szCs w:val="20"/>
                    </w:rPr>
                  </w:pPr>
                </w:p>
              </w:tc>
            </w:tr>
          </w:tbl>
          <w:p w14:paraId="789247FA" w14:textId="77777777" w:rsidR="00541300" w:rsidRDefault="00541300">
            <w:pPr>
              <w:jc w:val="center"/>
              <w:rPr>
                <w:rFonts w:ascii="Times New Roman" w:eastAsia="Times New Roman" w:hAnsi="Times New Roman" w:cs="Times New Roman"/>
                <w:sz w:val="20"/>
                <w:szCs w:val="20"/>
              </w:rPr>
            </w:pPr>
          </w:p>
        </w:tc>
      </w:tr>
    </w:tbl>
    <w:p w14:paraId="23AB5F40" w14:textId="77777777" w:rsidR="009A1338" w:rsidRDefault="009A1338"/>
    <w:sectPr w:rsidR="009A13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00"/>
    <w:rsid w:val="00541300"/>
    <w:rsid w:val="008E19C7"/>
    <w:rsid w:val="009A1338"/>
    <w:rsid w:val="00EA7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8FDC"/>
  <w15:chartTrackingRefBased/>
  <w15:docId w15:val="{F8B5C7BB-A3EC-4FBA-AFDE-4F99F09E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300"/>
    <w:pPr>
      <w:spacing w:after="0" w:line="240" w:lineRule="auto"/>
    </w:pPr>
    <w:rPr>
      <w:rFonts w:ascii="Calibri" w:hAnsi="Calibri" w:cs="Calibri"/>
      <w:lang w:eastAsia="en-GB"/>
    </w:rPr>
  </w:style>
  <w:style w:type="paragraph" w:styleId="Heading3">
    <w:name w:val="heading 3"/>
    <w:basedOn w:val="Normal"/>
    <w:link w:val="Heading3Char"/>
    <w:uiPriority w:val="9"/>
    <w:semiHidden/>
    <w:unhideWhenUsed/>
    <w:qFormat/>
    <w:rsid w:val="00541300"/>
    <w:pPr>
      <w:outlineLvl w:val="2"/>
    </w:pPr>
    <w:rPr>
      <w:rFonts w:ascii="Open Sans" w:hAnsi="Open Sans" w:cs="Open Sans"/>
      <w:color w:val="0C96D3"/>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41300"/>
    <w:rPr>
      <w:rFonts w:ascii="Open Sans" w:hAnsi="Open Sans" w:cs="Open Sans"/>
      <w:color w:val="0C96D3"/>
      <w:sz w:val="33"/>
      <w:szCs w:val="33"/>
      <w:lang w:eastAsia="en-GB"/>
    </w:rPr>
  </w:style>
  <w:style w:type="character" w:styleId="Strong">
    <w:name w:val="Strong"/>
    <w:basedOn w:val="DefaultParagraphFont"/>
    <w:uiPriority w:val="22"/>
    <w:qFormat/>
    <w:rsid w:val="00541300"/>
    <w:rPr>
      <w:b/>
      <w:bCs/>
    </w:rPr>
  </w:style>
  <w:style w:type="character" w:styleId="Emphasis">
    <w:name w:val="Emphasis"/>
    <w:basedOn w:val="DefaultParagraphFont"/>
    <w:uiPriority w:val="20"/>
    <w:qFormat/>
    <w:rsid w:val="005413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4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ur01.safelinks.protection.outlook.com/?url=https%3A%2F%2Fteachithistory.us2.list-manage.com%2Ftrack%2Fclick%3Fu%3D3d3dfa5cc2536b28cdfcec973%26id%3D5d225668a9%26e%3D2a8fddef90&amp;data=05%7C01%7CRoisin.Watters%40guildfordhigh.co.uk%7Cd5968e6da2fb4bfddc6708da9a5e0d6a%7Cd171773e6f614345a7071656ccbd752c%7C1%7C0%7C637992025984802585%7CUnknown%7CTWFpbGZsb3d8eyJWIjoiMC4wLjAwMDAiLCJQIjoiV2luMzIiLCJBTiI6Ik1haWwiLCJXVCI6Mn0%3D%7C3000%7C%7C%7C&amp;sdata=rTiPdkAZlTSDd%2Bh7mLNAimEbDHWGJhLqQQi%2FfCsLV4k%3D&amp;reserved=0" TargetMode="External"/><Relationship Id="rId12" Type="http://schemas.openxmlformats.org/officeDocument/2006/relationships/hyperlink" Target="https://eur01.safelinks.protection.outlook.com/?url=https%3A%2F%2Fteachithistory.us2.list-manage.com%2Ftrack%2Fclick%3Fu%3D3d3dfa5cc2536b28cdfcec973%26id%3D972ca2bfd7%26e%3D2a8fddef90&amp;data=05%7C01%7CRoisin.Watters%40guildfordhigh.co.uk%7Cd5968e6da2fb4bfddc6708da9a5e0d6a%7Cd171773e6f614345a7071656ccbd752c%7C1%7C0%7C637992025984802585%7CUnknown%7CTWFpbGZsb3d8eyJWIjoiMC4wLjAwMDAiLCJQIjoiV2luMzIiLCJBTiI6Ik1haWwiLCJXVCI6Mn0%3D%7C3000%7C%7C%7C&amp;sdata=x%2BElzvu1WUhoDDQ6l%2BdZEDY0EaR6OMc%2Bl6po9xp7J84%3D&amp;reserved=0"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eur01.safelinks.protection.outlook.com/?url=https%3A%2F%2Fteachithistory.us2.list-manage.com%2Ftrack%2Fclick%3Fu%3D3d3dfa5cc2536b28cdfcec973%26id%3De2e487672f%26e%3D2a8fddef90&amp;data=05%7C01%7CRoisin.Watters%40guildfordhigh.co.uk%7Cd5968e6da2fb4bfddc6708da9a5e0d6a%7Cd171773e6f614345a7071656ccbd752c%7C1%7C0%7C637992025984802585%7CUnknown%7CTWFpbGZsb3d8eyJWIjoiMC4wLjAwMDAiLCJQIjoiV2luMzIiLCJBTiI6Ik1haWwiLCJXVCI6Mn0%3D%7C3000%7C%7C%7C&amp;sdata=gczE%2BZ8B2iQCmipJAejWvPB0tzvjwmYTxMMe3YpR7EA%3D&amp;reserved=0"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customXml" Target="../customXml/item1.xml"/><Relationship Id="rId10" Type="http://schemas.openxmlformats.org/officeDocument/2006/relationships/hyperlink" Target="https://eur01.safelinks.protection.outlook.com/?url=https%3A%2F%2Fteachithistory.us2.list-manage.com%2Ftrack%2Fclick%3Fu%3D3d3dfa5cc2536b28cdfcec973%26id%3Defa4aa75e3%26e%3D2a8fddef90&amp;data=05%7C01%7CRoisin.Watters%40guildfordhigh.co.uk%7Cd5968e6da2fb4bfddc6708da9a5e0d6a%7Cd171773e6f614345a7071656ccbd752c%7C1%7C0%7C637992025984802585%7CUnknown%7CTWFpbGZsb3d8eyJWIjoiMC4wLjAwMDAiLCJQIjoiV2luMzIiLCJBTiI6Ik1haWwiLCJXVCI6Mn0%3D%7C3000%7C%7C%7C&amp;sdata=g4RIxfPKcQArPWmEPaZA%2BaoSXSyOlqX5fW8gPeRQQNE%3D&amp;reserved=0" TargetMode="External"/><Relationship Id="rId4" Type="http://schemas.openxmlformats.org/officeDocument/2006/relationships/hyperlink" Target="https://eur01.safelinks.protection.outlook.com/?url=https%3A%2F%2Fteachithistory.us2.list-manage.com%2Ftrack%2Fclick%3Fu%3D3d3dfa5cc2536b28cdfcec973%26id%3D8a32c6b809%26e%3D2a8fddef90&amp;data=05%7C01%7CRoisin.Watters%40guildfordhigh.co.uk%7Cd5968e6da2fb4bfddc6708da9a5e0d6a%7Cd171773e6f614345a7071656ccbd752c%7C1%7C0%7C637992025984802585%7CUnknown%7CTWFpbGZsb3d8eyJWIjoiMC4wLjAwMDAiLCJQIjoiV2luMzIiLCJBTiI6Ik1haWwiLCJXVCI6Mn0%3D%7C3000%7C%7C%7C&amp;sdata=OtiYK0dm0OGFT7PXSEl5sCcJhp20XCfMaObKWFi1M%2B8%3D&amp;reserved=0" TargetMode="External"/><Relationship Id="rId9" Type="http://schemas.openxmlformats.org/officeDocument/2006/relationships/hyperlink" Target="https://eur01.safelinks.protection.outlook.com/?url=https%3A%2F%2Fteachithistory.us2.list-manage.com%2Ftrack%2Fclick%3Fu%3D3d3dfa5cc2536b28cdfcec973%26id%3D11d8e15fb6%26e%3D2a8fddef90&amp;data=05%7C01%7CRoisin.Watters%40guildfordhigh.co.uk%7Cd5968e6da2fb4bfddc6708da9a5e0d6a%7Cd171773e6f614345a7071656ccbd752c%7C1%7C0%7C637992025984802585%7CUnknown%7CTWFpbGZsb3d8eyJWIjoiMC4wLjAwMDAiLCJQIjoiV2luMzIiLCJBTiI6Ik1haWwiLCJXVCI6Mn0%3D%7C3000%7C%7C%7C&amp;sdata=DIGJ4YIEHNTyePu%2Fg6FRb2tDEglaxBn3p01Gdi8lcf4%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01E0C7FA741D4CBE1A205C946D7EEB" ma:contentTypeVersion="22" ma:contentTypeDescription="Create a new document." ma:contentTypeScope="" ma:versionID="9faeadbdaa5a6d8e8b8b6dc55083793a">
  <xsd:schema xmlns:xsd="http://www.w3.org/2001/XMLSchema" xmlns:xs="http://www.w3.org/2001/XMLSchema" xmlns:p="http://schemas.microsoft.com/office/2006/metadata/properties" xmlns:ns1="http://schemas.microsoft.com/sharepoint/v3" xmlns:ns2="44e14532-a849-432a-a37e-083b1735e337" xmlns:ns3="c6329e39-6fd0-445e-9e6d-0d5c11cccd94" targetNamespace="http://schemas.microsoft.com/office/2006/metadata/properties" ma:root="true" ma:fieldsID="9664d29c7e9804017643b02064b9d319" ns1:_="" ns2:_="" ns3:_="">
    <xsd:import namespace="http://schemas.microsoft.com/sharepoint/v3"/>
    <xsd:import namespace="44e14532-a849-432a-a37e-083b1735e337"/>
    <xsd:import namespace="c6329e39-6fd0-445e-9e6d-0d5c11cccd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3:Number" minOccurs="0"/>
                <xsd:element ref="ns3:FileNumber" minOccurs="0"/>
                <xsd:element ref="ns3:Filenumber0"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e14532-a849-432a-a37e-083b1735e3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8" nillable="true" ma:displayName="Taxonomy Catch All Column" ma:hidden="true" ma:list="{1a29c7c5-9d63-4811-b798-a6dd80f7e40d}" ma:internalName="TaxCatchAll" ma:showField="CatchAllData" ma:web="44e14532-a849-432a-a37e-083b1735e3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329e39-6fd0-445e-9e6d-0d5c11cccd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description="" ma:indexed="true"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umber" ma:index="22" nillable="true" ma:displayName="Number" ma:format="Dropdown" ma:internalName="Number" ma:percentage="FALSE">
      <xsd:simpleType>
        <xsd:restriction base="dms:Number"/>
      </xsd:simpleType>
    </xsd:element>
    <xsd:element name="FileNumber" ma:index="23" nillable="true" ma:displayName="File Number" ma:format="Dropdown" ma:internalName="FileNumber" ma:percentage="FALSE">
      <xsd:simpleType>
        <xsd:restriction base="dms:Number"/>
      </xsd:simpleType>
    </xsd:element>
    <xsd:element name="Filenumber0" ma:index="24" nillable="true" ma:displayName="File number" ma:format="Dropdown" ma:internalName="Filenumber0" ma:percentage="FALSE">
      <xsd:simpleType>
        <xsd:restriction base="dms:Number"/>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ca400f2-e073-4868-ab41-057e544757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umber xmlns="c6329e39-6fd0-445e-9e6d-0d5c11cccd94" xsi:nil="true"/>
    <TaxCatchAll xmlns="44e14532-a849-432a-a37e-083b1735e337" xsi:nil="true"/>
    <_ip_UnifiedCompliancePolicyProperties xmlns="http://schemas.microsoft.com/sharepoint/v3" xsi:nil="true"/>
    <FileNumber xmlns="c6329e39-6fd0-445e-9e6d-0d5c11cccd94" xsi:nil="true"/>
    <lcf76f155ced4ddcb4097134ff3c332f xmlns="c6329e39-6fd0-445e-9e6d-0d5c11cccd94">
      <Terms xmlns="http://schemas.microsoft.com/office/infopath/2007/PartnerControls"/>
    </lcf76f155ced4ddcb4097134ff3c332f>
    <Filenumber0 xmlns="c6329e39-6fd0-445e-9e6d-0d5c11cccd94" xsi:nil="true"/>
  </documentManagement>
</p:properties>
</file>

<file path=customXml/itemProps1.xml><?xml version="1.0" encoding="utf-8"?>
<ds:datastoreItem xmlns:ds="http://schemas.openxmlformats.org/officeDocument/2006/customXml" ds:itemID="{3BB5D591-2EF3-4702-B40F-D3A29D89B4B4}"/>
</file>

<file path=customXml/itemProps2.xml><?xml version="1.0" encoding="utf-8"?>
<ds:datastoreItem xmlns:ds="http://schemas.openxmlformats.org/officeDocument/2006/customXml" ds:itemID="{040592F8-2992-4F43-81B4-28BB2E4ABF29}"/>
</file>

<file path=customXml/itemProps3.xml><?xml version="1.0" encoding="utf-8"?>
<ds:datastoreItem xmlns:ds="http://schemas.openxmlformats.org/officeDocument/2006/customXml" ds:itemID="{2F38A737-ACF6-4972-BDD3-7D3AA55BC292}"/>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5587</Characters>
  <Application>Microsoft Office Word</Application>
  <DocSecurity>0</DocSecurity>
  <Lines>46</Lines>
  <Paragraphs>13</Paragraphs>
  <ScaleCrop>false</ScaleCrop>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Róisín Watters</dc:creator>
  <cp:keywords/>
  <dc:description/>
  <cp:lastModifiedBy>Róisín Watters</cp:lastModifiedBy>
  <cp:revision>1</cp:revision>
  <dcterms:created xsi:type="dcterms:W3CDTF">2022-09-19T18:47:00Z</dcterms:created>
  <dcterms:modified xsi:type="dcterms:W3CDTF">2022-09-19T18:47:00Z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0x010100E101E0C7FA741D4CBE1A205C946D7EEB</vt:lpwstr>
  </property>
</Properties>
</file>